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57f1c1cdd14ec7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50830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RAZVOJNA AGENCIJA OPĆINE GRAČAC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III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10.580,84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13.367,91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9.964,82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13.367,91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PRIHODA POSLOVANJA (šifre 6-Z005,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X001, 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PRIHODA OD NEFINANCIJSKE IMOVINE (šifre 7-4,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X002, 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iskazani su ukupni prihodi poslovanjau iznosu od 13.367,91 EUR te ukupni rashodi poslovanja u istom iznosu, zbog čega nije ostvaren niti višak niti manjak prishoda poslovanja. Prihodi i rashodi od nefinancijske imovine, kao i primici i izdaci od financijske imovine i zaduživanja, nisu osrtvareni u izvještajniom razdoblju.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i od HZZO-a na temelju ugovornih obveza (šifre 671+673)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10.580,84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13.367,91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126,3</w:t>
            </w:r>
          </w:p>
        </w:tc>
      </w:tr>
    </w:tbl>
    <w:p>
      <w:pPr>
        <w:spacing w:before="0" w:after="0"/>
      </w:pPr>
    </w:p>
    <w:p>
      <w:r>
        <w:t xml:space="preserve">Povećanje prihoda u izvještajnom razdoblju u odnosu na prethodnu godinu rezultat je povećanja rashoda za plaće zaposlenika, odnosno rasta osnovice i ukupnih troškova plaća.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659,05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1.057,92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160,5</w:t>
            </w:r>
          </w:p>
        </w:tc>
      </w:tr>
    </w:tbl>
    <w:p>
      <w:pPr>
        <w:spacing w:before="0" w:after="0"/>
      </w:pPr>
    </w:p>
    <w:p>
      <w:r>
        <w:t xml:space="preserve">Povećanje rashoda na stavci 323 -Rashodi za usluge posljedica je povećanja cijena u odnosu na prethodnu godinu.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d0bf1190281449f" /></Relationships>
</file>